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0A" w:rsidRDefault="008E5C0A" w:rsidP="008E5C0A">
      <w:pPr>
        <w:jc w:val="right"/>
        <w:rPr>
          <w:rFonts w:asciiTheme="majorEastAsia" w:eastAsiaTheme="majorEastAsia" w:hAnsiTheme="majorEastAsia" w:hint="eastAsia"/>
          <w:sz w:val="28"/>
          <w:szCs w:val="28"/>
        </w:rPr>
      </w:pPr>
      <w:r w:rsidRPr="008E5C0A">
        <w:rPr>
          <w:rFonts w:asciiTheme="majorEastAsia" w:eastAsiaTheme="majorEastAsia" w:hAnsiTheme="majorEastAsia" w:hint="eastAsia"/>
          <w:sz w:val="28"/>
          <w:szCs w:val="28"/>
          <w:bdr w:val="single" w:sz="4" w:space="0" w:color="auto"/>
        </w:rPr>
        <w:t>別　紙</w:t>
      </w:r>
    </w:p>
    <w:p w:rsidR="00564C7E" w:rsidRPr="00300C65" w:rsidRDefault="00564C7E">
      <w:pPr>
        <w:rPr>
          <w:rFonts w:asciiTheme="majorEastAsia" w:eastAsiaTheme="majorEastAsia" w:hAnsiTheme="majorEastAsia"/>
          <w:sz w:val="28"/>
          <w:szCs w:val="28"/>
        </w:rPr>
      </w:pPr>
      <w:r w:rsidRPr="00300C65">
        <w:rPr>
          <w:rFonts w:asciiTheme="majorEastAsia" w:eastAsiaTheme="majorEastAsia" w:hAnsiTheme="majorEastAsia" w:hint="eastAsia"/>
          <w:sz w:val="28"/>
          <w:szCs w:val="28"/>
        </w:rPr>
        <w:t>医療機関が自ら検体検査を実施する場合における精度の確保のために設けるべき基準</w:t>
      </w:r>
    </w:p>
    <w:p w:rsidR="00F45867" w:rsidRDefault="00F45867">
      <w:pPr>
        <w:rPr>
          <w:rFonts w:asciiTheme="majorEastAsia" w:eastAsiaTheme="majorEastAsia" w:hAnsiTheme="majorEastAsia"/>
          <w:sz w:val="24"/>
          <w:szCs w:val="24"/>
        </w:rPr>
      </w:pPr>
    </w:p>
    <w:p w:rsidR="00564C7E" w:rsidRDefault="00564C7E">
      <w:pPr>
        <w:rPr>
          <w:rFonts w:asciiTheme="majorEastAsia" w:eastAsiaTheme="majorEastAsia" w:hAnsiTheme="majorEastAsia"/>
          <w:sz w:val="24"/>
          <w:szCs w:val="24"/>
        </w:rPr>
      </w:pPr>
      <w:r w:rsidRPr="00300C65">
        <w:rPr>
          <w:rFonts w:asciiTheme="majorEastAsia" w:eastAsiaTheme="majorEastAsia" w:hAnsiTheme="majorEastAsia" w:hint="eastAsia"/>
          <w:sz w:val="24"/>
          <w:szCs w:val="24"/>
        </w:rPr>
        <w:t>対象：病院、診療所（医科・歯科）、助産所</w:t>
      </w:r>
      <w:bookmarkStart w:id="0" w:name="_GoBack"/>
      <w:bookmarkEnd w:id="0"/>
    </w:p>
    <w:p w:rsidR="009217D9" w:rsidRPr="00300C65" w:rsidRDefault="009217D9">
      <w:pPr>
        <w:rPr>
          <w:rFonts w:asciiTheme="majorEastAsia" w:eastAsiaTheme="majorEastAsia" w:hAnsiTheme="majorEastAsia"/>
          <w:sz w:val="24"/>
          <w:szCs w:val="24"/>
        </w:rPr>
      </w:pPr>
    </w:p>
    <w:tbl>
      <w:tblPr>
        <w:tblStyle w:val="a3"/>
        <w:tblW w:w="21689" w:type="dxa"/>
        <w:tblInd w:w="-176" w:type="dxa"/>
        <w:tblLook w:val="04A0" w:firstRow="1" w:lastRow="0" w:firstColumn="1" w:lastColumn="0" w:noHBand="0" w:noVBand="1"/>
      </w:tblPr>
      <w:tblGrid>
        <w:gridCol w:w="536"/>
        <w:gridCol w:w="7545"/>
        <w:gridCol w:w="1701"/>
        <w:gridCol w:w="11907"/>
      </w:tblGrid>
      <w:tr w:rsidR="00564C7E" w:rsidTr="009217D9">
        <w:tc>
          <w:tcPr>
            <w:tcW w:w="536" w:type="dxa"/>
          </w:tcPr>
          <w:p w:rsidR="00564C7E" w:rsidRDefault="00564C7E"/>
        </w:tc>
        <w:tc>
          <w:tcPr>
            <w:tcW w:w="9246" w:type="dxa"/>
            <w:gridSpan w:val="2"/>
          </w:tcPr>
          <w:p w:rsidR="00564C7E" w:rsidRPr="00300C65" w:rsidRDefault="00564C7E" w:rsidP="00564C7E">
            <w:pPr>
              <w:jc w:val="center"/>
              <w:rPr>
                <w:sz w:val="22"/>
              </w:rPr>
            </w:pPr>
            <w:r w:rsidRPr="00300C65">
              <w:rPr>
                <w:rFonts w:hint="eastAsia"/>
                <w:sz w:val="22"/>
              </w:rPr>
              <w:t>必要な事項</w:t>
            </w:r>
          </w:p>
        </w:tc>
        <w:tc>
          <w:tcPr>
            <w:tcW w:w="11907" w:type="dxa"/>
          </w:tcPr>
          <w:p w:rsidR="00564C7E" w:rsidRPr="00300C65" w:rsidRDefault="00564C7E" w:rsidP="00564C7E">
            <w:pPr>
              <w:jc w:val="center"/>
              <w:rPr>
                <w:sz w:val="22"/>
              </w:rPr>
            </w:pPr>
            <w:r w:rsidRPr="00300C65">
              <w:rPr>
                <w:rFonts w:hint="eastAsia"/>
                <w:sz w:val="22"/>
              </w:rPr>
              <w:t>留意事項</w:t>
            </w:r>
          </w:p>
        </w:tc>
      </w:tr>
      <w:tr w:rsidR="00564C7E" w:rsidTr="009217D9">
        <w:trPr>
          <w:trHeight w:val="2074"/>
        </w:trPr>
        <w:tc>
          <w:tcPr>
            <w:tcW w:w="536" w:type="dxa"/>
            <w:vAlign w:val="center"/>
          </w:tcPr>
          <w:p w:rsidR="00564C7E" w:rsidRPr="00564C7E" w:rsidRDefault="00564C7E" w:rsidP="00564C7E">
            <w:pPr>
              <w:jc w:val="center"/>
              <w:rPr>
                <w:sz w:val="32"/>
                <w:szCs w:val="32"/>
              </w:rPr>
            </w:pPr>
            <w:r>
              <w:rPr>
                <w:rFonts w:hint="eastAsia"/>
                <w:sz w:val="32"/>
                <w:szCs w:val="32"/>
              </w:rPr>
              <w:t>１</w:t>
            </w:r>
          </w:p>
        </w:tc>
        <w:tc>
          <w:tcPr>
            <w:tcW w:w="7545" w:type="dxa"/>
            <w:tcBorders>
              <w:right w:val="dashSmallGap" w:sz="4" w:space="0" w:color="auto"/>
            </w:tcBorders>
          </w:tcPr>
          <w:p w:rsidR="00564C7E" w:rsidRPr="00300C65" w:rsidRDefault="00564C7E">
            <w:pPr>
              <w:rPr>
                <w:rFonts w:asciiTheme="majorEastAsia" w:eastAsiaTheme="majorEastAsia" w:hAnsiTheme="majorEastAsia"/>
                <w:sz w:val="22"/>
              </w:rPr>
            </w:pPr>
            <w:r w:rsidRPr="00300C65">
              <w:rPr>
                <w:rFonts w:asciiTheme="majorEastAsia" w:eastAsiaTheme="majorEastAsia" w:hAnsiTheme="majorEastAsia" w:hint="eastAsia"/>
                <w:sz w:val="22"/>
              </w:rPr>
              <w:t>精度の確保に係る責任者の設置</w:t>
            </w:r>
          </w:p>
          <w:p w:rsidR="00564C7E" w:rsidRPr="00300C65" w:rsidRDefault="00564C7E">
            <w:pPr>
              <w:rPr>
                <w:sz w:val="22"/>
              </w:rPr>
            </w:pPr>
            <w:r w:rsidRPr="00300C65">
              <w:rPr>
                <w:rFonts w:hint="eastAsia"/>
                <w:sz w:val="22"/>
              </w:rPr>
              <w:t xml:space="preserve">　・病院・診療所（医科）　　→　　</w:t>
            </w:r>
            <w:r w:rsidR="00F45867">
              <w:rPr>
                <w:rFonts w:hint="eastAsia"/>
                <w:sz w:val="22"/>
              </w:rPr>
              <w:t>医師又は臨床検査技師</w:t>
            </w:r>
          </w:p>
          <w:p w:rsidR="00564C7E" w:rsidRPr="00300C65" w:rsidRDefault="00564C7E">
            <w:pPr>
              <w:rPr>
                <w:sz w:val="22"/>
              </w:rPr>
            </w:pPr>
            <w:r w:rsidRPr="00300C65">
              <w:rPr>
                <w:rFonts w:hint="eastAsia"/>
                <w:sz w:val="22"/>
              </w:rPr>
              <w:t xml:space="preserve">　・歯科診療所　　　　　　　→</w:t>
            </w:r>
            <w:r w:rsidR="00F45867">
              <w:rPr>
                <w:rFonts w:hint="eastAsia"/>
                <w:sz w:val="22"/>
              </w:rPr>
              <w:t xml:space="preserve">　　歯科医師又は臨床検査技師</w:t>
            </w:r>
          </w:p>
          <w:p w:rsidR="00564C7E" w:rsidRPr="00300C65" w:rsidRDefault="00564C7E">
            <w:pPr>
              <w:rPr>
                <w:sz w:val="22"/>
              </w:rPr>
            </w:pPr>
            <w:r w:rsidRPr="00300C65">
              <w:rPr>
                <w:rFonts w:hint="eastAsia"/>
                <w:sz w:val="22"/>
              </w:rPr>
              <w:t xml:space="preserve">　・助産所　　　　　　　　　→　　助産師</w:t>
            </w:r>
          </w:p>
        </w:tc>
        <w:tc>
          <w:tcPr>
            <w:tcW w:w="1701" w:type="dxa"/>
            <w:tcBorders>
              <w:left w:val="dashSmallGap" w:sz="4" w:space="0" w:color="auto"/>
            </w:tcBorders>
          </w:tcPr>
          <w:p w:rsidR="00564C7E" w:rsidRPr="00300C65" w:rsidRDefault="00564C7E">
            <w:pPr>
              <w:rPr>
                <w:sz w:val="22"/>
              </w:rPr>
            </w:pPr>
            <w:r w:rsidRPr="00300C65">
              <w:rPr>
                <w:rFonts w:hint="eastAsia"/>
                <w:sz w:val="22"/>
              </w:rPr>
              <w:t>設置義務化</w:t>
            </w:r>
          </w:p>
        </w:tc>
        <w:tc>
          <w:tcPr>
            <w:tcW w:w="11907" w:type="dxa"/>
          </w:tcPr>
          <w:p w:rsidR="00564C7E" w:rsidRDefault="005B3D45" w:rsidP="005B3D45">
            <w:pPr>
              <w:pStyle w:val="a4"/>
              <w:numPr>
                <w:ilvl w:val="0"/>
                <w:numId w:val="1"/>
              </w:numPr>
              <w:ind w:leftChars="0"/>
            </w:pPr>
            <w:r>
              <w:rPr>
                <w:rFonts w:hint="eastAsia"/>
              </w:rPr>
              <w:t>責任者の業務経験については特段の要件は定めないが、衛生検査所における精度管理責任者（検体検査の業務に係る</w:t>
            </w:r>
            <w:r>
              <w:rPr>
                <w:rFonts w:hint="eastAsia"/>
              </w:rPr>
              <w:t>6</w:t>
            </w:r>
            <w:r>
              <w:rPr>
                <w:rFonts w:hint="eastAsia"/>
              </w:rPr>
              <w:t>年以上の実務経験及び精度管理に係る</w:t>
            </w:r>
            <w:r>
              <w:rPr>
                <w:rFonts w:hint="eastAsia"/>
              </w:rPr>
              <w:t>3</w:t>
            </w:r>
            <w:r>
              <w:rPr>
                <w:rFonts w:hint="eastAsia"/>
              </w:rPr>
              <w:t>年以上の実務経験をもって選任）の場合を参考にすることが望ましい。</w:t>
            </w:r>
          </w:p>
          <w:p w:rsidR="005B3D45" w:rsidRDefault="005B3D45" w:rsidP="005B3D45">
            <w:pPr>
              <w:pStyle w:val="a4"/>
              <w:numPr>
                <w:ilvl w:val="0"/>
                <w:numId w:val="1"/>
              </w:numPr>
              <w:ind w:leftChars="0"/>
            </w:pPr>
            <w:r>
              <w:rPr>
                <w:rFonts w:hint="eastAsia"/>
              </w:rPr>
              <w:t>検体検査全般の精度管理に係る責任者の他に、遺伝子関連検査・染色体検査に係る責任者</w:t>
            </w:r>
            <w:r w:rsidR="00F45867">
              <w:rPr>
                <w:rFonts w:hint="eastAsia"/>
              </w:rPr>
              <w:t>（医師又は臨床検査技師</w:t>
            </w:r>
            <w:r w:rsidR="00E443BE">
              <w:rPr>
                <w:rFonts w:hint="eastAsia"/>
              </w:rPr>
              <w:t>のほか、遺伝子関連・染色体検査の専門知識及び経験を有する他の職種も可）をおくことも義務化。なお、精度管理の確保全般に係る責任者との兼任は妨げない。</w:t>
            </w:r>
          </w:p>
        </w:tc>
      </w:tr>
      <w:tr w:rsidR="00564C7E" w:rsidTr="009217D9">
        <w:trPr>
          <w:trHeight w:val="4371"/>
        </w:trPr>
        <w:tc>
          <w:tcPr>
            <w:tcW w:w="536" w:type="dxa"/>
            <w:vAlign w:val="center"/>
          </w:tcPr>
          <w:p w:rsidR="00564C7E" w:rsidRPr="00564C7E" w:rsidRDefault="00564C7E" w:rsidP="00564C7E">
            <w:pPr>
              <w:jc w:val="center"/>
              <w:rPr>
                <w:sz w:val="32"/>
                <w:szCs w:val="32"/>
              </w:rPr>
            </w:pPr>
            <w:r>
              <w:rPr>
                <w:rFonts w:hint="eastAsia"/>
                <w:sz w:val="32"/>
                <w:szCs w:val="32"/>
              </w:rPr>
              <w:t>２</w:t>
            </w:r>
          </w:p>
        </w:tc>
        <w:tc>
          <w:tcPr>
            <w:tcW w:w="7545" w:type="dxa"/>
            <w:tcBorders>
              <w:right w:val="dashSmallGap" w:sz="4" w:space="0" w:color="auto"/>
            </w:tcBorders>
          </w:tcPr>
          <w:p w:rsidR="00564C7E" w:rsidRPr="00300C65" w:rsidRDefault="00F45867">
            <w:pPr>
              <w:rPr>
                <w:rFonts w:asciiTheme="majorEastAsia" w:eastAsiaTheme="majorEastAsia" w:hAnsiTheme="majorEastAsia"/>
                <w:sz w:val="22"/>
              </w:rPr>
            </w:pPr>
            <w:r>
              <w:rPr>
                <w:rFonts w:asciiTheme="majorEastAsia" w:eastAsiaTheme="majorEastAsia" w:hAnsiTheme="majorEastAsia" w:hint="eastAsia"/>
                <w:sz w:val="22"/>
              </w:rPr>
              <w:t>精度の確保に係る各種標準作業書・日誌・台帳</w:t>
            </w:r>
            <w:r w:rsidR="00564C7E" w:rsidRPr="00300C65">
              <w:rPr>
                <w:rFonts w:asciiTheme="majorEastAsia" w:eastAsiaTheme="majorEastAsia" w:hAnsiTheme="majorEastAsia" w:hint="eastAsia"/>
                <w:sz w:val="22"/>
              </w:rPr>
              <w:t>の作成</w:t>
            </w:r>
          </w:p>
          <w:p w:rsidR="00564C7E" w:rsidRPr="00300C65" w:rsidRDefault="00564C7E">
            <w:pPr>
              <w:rPr>
                <w:sz w:val="22"/>
              </w:rPr>
            </w:pPr>
            <w:r w:rsidRPr="00300C65">
              <w:rPr>
                <w:rFonts w:hint="eastAsia"/>
                <w:sz w:val="22"/>
              </w:rPr>
              <w:t>【各種標準作業書】</w:t>
            </w:r>
          </w:p>
          <w:p w:rsidR="00564C7E" w:rsidRPr="00300C65" w:rsidRDefault="00564C7E" w:rsidP="00300C65">
            <w:pPr>
              <w:ind w:firstLineChars="100" w:firstLine="220"/>
              <w:rPr>
                <w:sz w:val="22"/>
              </w:rPr>
            </w:pPr>
            <w:r w:rsidRPr="00300C65">
              <w:rPr>
                <w:rFonts w:hint="eastAsia"/>
                <w:sz w:val="22"/>
              </w:rPr>
              <w:t>①検査機器保守管理標準作業書</w:t>
            </w:r>
          </w:p>
          <w:p w:rsidR="00564C7E" w:rsidRPr="00300C65" w:rsidRDefault="00564C7E" w:rsidP="00300C65">
            <w:pPr>
              <w:ind w:firstLineChars="100" w:firstLine="220"/>
              <w:rPr>
                <w:sz w:val="22"/>
              </w:rPr>
            </w:pPr>
            <w:r w:rsidRPr="00300C65">
              <w:rPr>
                <w:rFonts w:hint="eastAsia"/>
                <w:sz w:val="22"/>
              </w:rPr>
              <w:t>②測定標準作業書</w:t>
            </w:r>
          </w:p>
          <w:p w:rsidR="00564C7E" w:rsidRPr="00300C65" w:rsidRDefault="00564C7E" w:rsidP="00564C7E">
            <w:pPr>
              <w:rPr>
                <w:sz w:val="22"/>
              </w:rPr>
            </w:pPr>
            <w:r w:rsidRPr="00300C65">
              <w:rPr>
                <w:rFonts w:hint="eastAsia"/>
                <w:sz w:val="22"/>
              </w:rPr>
              <w:t>【</w:t>
            </w:r>
            <w:r w:rsidR="00782A61">
              <w:rPr>
                <w:rFonts w:hint="eastAsia"/>
                <w:sz w:val="22"/>
              </w:rPr>
              <w:t>各</w:t>
            </w:r>
            <w:r w:rsidRPr="00300C65">
              <w:rPr>
                <w:rFonts w:hint="eastAsia"/>
                <w:sz w:val="22"/>
              </w:rPr>
              <w:t>作業日誌】</w:t>
            </w:r>
          </w:p>
          <w:p w:rsidR="00564C7E" w:rsidRPr="00300C65" w:rsidRDefault="00564C7E" w:rsidP="00564C7E">
            <w:pPr>
              <w:rPr>
                <w:sz w:val="22"/>
              </w:rPr>
            </w:pPr>
            <w:r w:rsidRPr="00300C65">
              <w:rPr>
                <w:rFonts w:hint="eastAsia"/>
                <w:sz w:val="22"/>
              </w:rPr>
              <w:t xml:space="preserve">　③検査機器保守管理作業日誌</w:t>
            </w:r>
          </w:p>
          <w:p w:rsidR="00564C7E" w:rsidRPr="00300C65" w:rsidRDefault="002C15BE" w:rsidP="00564C7E">
            <w:pPr>
              <w:rPr>
                <w:sz w:val="22"/>
              </w:rPr>
            </w:pPr>
            <w:r>
              <w:rPr>
                <w:rFonts w:hint="eastAsia"/>
                <w:sz w:val="22"/>
              </w:rPr>
              <w:t xml:space="preserve">　④測定作業</w:t>
            </w:r>
            <w:r w:rsidR="00564C7E" w:rsidRPr="00300C65">
              <w:rPr>
                <w:rFonts w:hint="eastAsia"/>
                <w:sz w:val="22"/>
              </w:rPr>
              <w:t>日誌</w:t>
            </w:r>
          </w:p>
          <w:p w:rsidR="00564C7E" w:rsidRPr="00300C65" w:rsidRDefault="00564C7E" w:rsidP="00564C7E">
            <w:pPr>
              <w:rPr>
                <w:sz w:val="22"/>
              </w:rPr>
            </w:pPr>
            <w:r w:rsidRPr="00300C65">
              <w:rPr>
                <w:rFonts w:hint="eastAsia"/>
                <w:sz w:val="22"/>
              </w:rPr>
              <w:t>【</w:t>
            </w:r>
            <w:r w:rsidR="00300C65" w:rsidRPr="00300C65">
              <w:rPr>
                <w:rFonts w:hint="eastAsia"/>
                <w:sz w:val="22"/>
              </w:rPr>
              <w:t>台帳</w:t>
            </w:r>
            <w:r w:rsidRPr="00300C65">
              <w:rPr>
                <w:rFonts w:hint="eastAsia"/>
                <w:sz w:val="22"/>
              </w:rPr>
              <w:t>】</w:t>
            </w:r>
          </w:p>
          <w:p w:rsidR="00300C65" w:rsidRPr="00300C65" w:rsidRDefault="00300C65" w:rsidP="00564C7E">
            <w:pPr>
              <w:rPr>
                <w:sz w:val="22"/>
              </w:rPr>
            </w:pPr>
            <w:r w:rsidRPr="00300C65">
              <w:rPr>
                <w:rFonts w:hint="eastAsia"/>
                <w:sz w:val="22"/>
              </w:rPr>
              <w:t xml:space="preserve">　⑤試薬管理台帳</w:t>
            </w:r>
          </w:p>
          <w:p w:rsidR="00300C65" w:rsidRPr="00300C65" w:rsidRDefault="00300C65" w:rsidP="00564C7E">
            <w:pPr>
              <w:rPr>
                <w:sz w:val="22"/>
              </w:rPr>
            </w:pPr>
            <w:r w:rsidRPr="00300C65">
              <w:rPr>
                <w:rFonts w:hint="eastAsia"/>
                <w:sz w:val="22"/>
              </w:rPr>
              <w:t xml:space="preserve">　⑥統計学的精度管理台帳</w:t>
            </w:r>
          </w:p>
          <w:p w:rsidR="00300C65" w:rsidRPr="00300C65" w:rsidRDefault="00300C65" w:rsidP="00564C7E">
            <w:pPr>
              <w:rPr>
                <w:sz w:val="22"/>
              </w:rPr>
            </w:pPr>
            <w:r w:rsidRPr="00300C65">
              <w:rPr>
                <w:rFonts w:hint="eastAsia"/>
                <w:sz w:val="22"/>
              </w:rPr>
              <w:t xml:space="preserve">　⑦外部精度管理台帳</w:t>
            </w:r>
          </w:p>
        </w:tc>
        <w:tc>
          <w:tcPr>
            <w:tcW w:w="1701" w:type="dxa"/>
            <w:tcBorders>
              <w:left w:val="dashSmallGap" w:sz="4" w:space="0" w:color="auto"/>
            </w:tcBorders>
          </w:tcPr>
          <w:p w:rsidR="00564C7E" w:rsidRPr="00300C65" w:rsidRDefault="00300C65">
            <w:pPr>
              <w:rPr>
                <w:sz w:val="22"/>
              </w:rPr>
            </w:pPr>
            <w:r w:rsidRPr="00300C65">
              <w:rPr>
                <w:rFonts w:hint="eastAsia"/>
                <w:sz w:val="22"/>
              </w:rPr>
              <w:t>策定・記入の</w:t>
            </w:r>
          </w:p>
          <w:p w:rsidR="00300C65" w:rsidRPr="00300C65" w:rsidRDefault="00300C65">
            <w:pPr>
              <w:rPr>
                <w:sz w:val="22"/>
              </w:rPr>
            </w:pPr>
            <w:r w:rsidRPr="00300C65">
              <w:rPr>
                <w:rFonts w:hint="eastAsia"/>
                <w:sz w:val="22"/>
              </w:rPr>
              <w:t>義務化</w:t>
            </w:r>
          </w:p>
        </w:tc>
        <w:tc>
          <w:tcPr>
            <w:tcW w:w="11907" w:type="dxa"/>
          </w:tcPr>
          <w:p w:rsidR="00E443BE" w:rsidRDefault="002C15BE" w:rsidP="002C15BE">
            <w:pPr>
              <w:pStyle w:val="a4"/>
              <w:numPr>
                <w:ilvl w:val="0"/>
                <w:numId w:val="2"/>
              </w:numPr>
              <w:ind w:leftChars="0"/>
            </w:pPr>
            <w:r>
              <w:rPr>
                <w:rFonts w:hint="eastAsia"/>
              </w:rPr>
              <w:t>各作業書・日誌・台帳において記入</w:t>
            </w:r>
            <w:r w:rsidR="00E443BE">
              <w:rPr>
                <w:rFonts w:hint="eastAsia"/>
              </w:rPr>
              <w:t>すべき事項については、省令で定められてはいないが、国の通知（</w:t>
            </w:r>
            <w:r w:rsidR="00E443BE">
              <w:rPr>
                <w:rFonts w:hint="eastAsia"/>
              </w:rPr>
              <w:t>H30.8.10</w:t>
            </w:r>
            <w:r w:rsidR="00E443BE">
              <w:rPr>
                <w:rFonts w:hint="eastAsia"/>
              </w:rPr>
              <w:t>付け医政発</w:t>
            </w:r>
            <w:r w:rsidR="00E443BE">
              <w:rPr>
                <w:rFonts w:hint="eastAsia"/>
              </w:rPr>
              <w:t>0810</w:t>
            </w:r>
            <w:r w:rsidR="00E443BE">
              <w:rPr>
                <w:rFonts w:hint="eastAsia"/>
              </w:rPr>
              <w:t>第</w:t>
            </w:r>
            <w:r w:rsidR="00E443BE">
              <w:rPr>
                <w:rFonts w:hint="eastAsia"/>
              </w:rPr>
              <w:t>1</w:t>
            </w:r>
            <w:r w:rsidR="00E443BE">
              <w:rPr>
                <w:rFonts w:hint="eastAsia"/>
              </w:rPr>
              <w:t>号）に記載事項等が挙げられているため、参考にして各医療機関で作成されたい。</w:t>
            </w:r>
          </w:p>
          <w:p w:rsidR="002C15BE" w:rsidRPr="008F09C1" w:rsidRDefault="002C15BE" w:rsidP="002C15BE">
            <w:pPr>
              <w:pStyle w:val="a4"/>
              <w:numPr>
                <w:ilvl w:val="0"/>
                <w:numId w:val="2"/>
              </w:numPr>
              <w:ind w:leftChars="0"/>
            </w:pPr>
            <w:r w:rsidRPr="00300C65">
              <w:rPr>
                <w:rFonts w:hint="eastAsia"/>
                <w:sz w:val="22"/>
              </w:rPr>
              <w:t>①検査機器保守管理標準作業書</w:t>
            </w:r>
            <w:r>
              <w:rPr>
                <w:rFonts w:hint="eastAsia"/>
                <w:sz w:val="22"/>
              </w:rPr>
              <w:t>については、医療機器の添付文書・取扱説明書等をもって当該標準作業書とすることも認められる。</w:t>
            </w:r>
          </w:p>
          <w:p w:rsidR="008F09C1" w:rsidRPr="00782A61" w:rsidRDefault="008F09C1" w:rsidP="002C15BE">
            <w:pPr>
              <w:pStyle w:val="a4"/>
              <w:numPr>
                <w:ilvl w:val="0"/>
                <w:numId w:val="2"/>
              </w:numPr>
              <w:ind w:leftChars="0"/>
            </w:pPr>
            <w:r>
              <w:rPr>
                <w:rFonts w:hint="eastAsia"/>
                <w:sz w:val="22"/>
              </w:rPr>
              <w:t>①②の各種標準作業書の作成にあたっては、既存のマニュアル等を活用することとして差し支えない。</w:t>
            </w:r>
          </w:p>
          <w:p w:rsidR="00782A61" w:rsidRPr="002C15BE" w:rsidRDefault="00782A61" w:rsidP="002C15BE">
            <w:pPr>
              <w:pStyle w:val="a4"/>
              <w:numPr>
                <w:ilvl w:val="0"/>
                <w:numId w:val="2"/>
              </w:numPr>
              <w:ind w:leftChars="0"/>
            </w:pPr>
            <w:r>
              <w:rPr>
                <w:rFonts w:hint="eastAsia"/>
                <w:sz w:val="22"/>
              </w:rPr>
              <w:t>③～⑦の各作業日誌及び各台帳については、作業の内容に応じて整理統合して差し支えない。</w:t>
            </w:r>
          </w:p>
          <w:p w:rsidR="002C15BE" w:rsidRPr="00E443BE" w:rsidRDefault="002C15BE" w:rsidP="002C15BE">
            <w:pPr>
              <w:pStyle w:val="a4"/>
              <w:numPr>
                <w:ilvl w:val="0"/>
                <w:numId w:val="2"/>
              </w:numPr>
              <w:ind w:leftChars="0"/>
            </w:pPr>
            <w:r>
              <w:rPr>
                <w:rFonts w:hint="eastAsia"/>
                <w:sz w:val="22"/>
              </w:rPr>
              <w:t>③④の各種作業日誌の記録の頻度としては、検体検査を実施した都度又は週～月単位が望ましい。</w:t>
            </w:r>
          </w:p>
        </w:tc>
      </w:tr>
      <w:tr w:rsidR="00564C7E" w:rsidTr="009217D9">
        <w:trPr>
          <w:trHeight w:val="3822"/>
        </w:trPr>
        <w:tc>
          <w:tcPr>
            <w:tcW w:w="536" w:type="dxa"/>
            <w:vAlign w:val="center"/>
          </w:tcPr>
          <w:p w:rsidR="00564C7E" w:rsidRPr="00564C7E" w:rsidRDefault="00564C7E" w:rsidP="00564C7E">
            <w:pPr>
              <w:jc w:val="center"/>
              <w:rPr>
                <w:sz w:val="32"/>
                <w:szCs w:val="32"/>
              </w:rPr>
            </w:pPr>
            <w:r>
              <w:rPr>
                <w:rFonts w:hint="eastAsia"/>
                <w:sz w:val="32"/>
                <w:szCs w:val="32"/>
              </w:rPr>
              <w:t>３</w:t>
            </w:r>
          </w:p>
        </w:tc>
        <w:tc>
          <w:tcPr>
            <w:tcW w:w="7545" w:type="dxa"/>
            <w:tcBorders>
              <w:right w:val="dashSmallGap" w:sz="4" w:space="0" w:color="auto"/>
            </w:tcBorders>
          </w:tcPr>
          <w:p w:rsidR="00564C7E" w:rsidRPr="00300C65" w:rsidRDefault="00300C65">
            <w:pPr>
              <w:rPr>
                <w:rFonts w:asciiTheme="majorEastAsia" w:eastAsiaTheme="majorEastAsia" w:hAnsiTheme="majorEastAsia"/>
                <w:sz w:val="22"/>
              </w:rPr>
            </w:pPr>
            <w:r w:rsidRPr="00300C65">
              <w:rPr>
                <w:rFonts w:asciiTheme="majorEastAsia" w:eastAsiaTheme="majorEastAsia" w:hAnsiTheme="majorEastAsia" w:hint="eastAsia"/>
                <w:sz w:val="22"/>
              </w:rPr>
              <w:t>検体検査の精度の確保のために管理者の努めるべき事項</w:t>
            </w:r>
          </w:p>
          <w:p w:rsidR="00300C65" w:rsidRDefault="00300C65" w:rsidP="005B3D45">
            <w:pPr>
              <w:ind w:leftChars="100" w:left="210"/>
              <w:rPr>
                <w:sz w:val="22"/>
              </w:rPr>
            </w:pPr>
            <w:r>
              <w:rPr>
                <w:rFonts w:hint="eastAsia"/>
                <w:sz w:val="22"/>
              </w:rPr>
              <w:t>①内部精度管理の実施</w:t>
            </w:r>
          </w:p>
          <w:p w:rsidR="00300C65" w:rsidRDefault="00300C65" w:rsidP="005B3D45">
            <w:pPr>
              <w:ind w:leftChars="100" w:left="210"/>
              <w:rPr>
                <w:sz w:val="22"/>
              </w:rPr>
            </w:pPr>
            <w:r>
              <w:rPr>
                <w:rFonts w:hint="eastAsia"/>
                <w:sz w:val="22"/>
              </w:rPr>
              <w:t>②外部精度管理</w:t>
            </w:r>
            <w:r w:rsidR="00F45867">
              <w:rPr>
                <w:rFonts w:hint="eastAsia"/>
                <w:sz w:val="22"/>
              </w:rPr>
              <w:t>調査</w:t>
            </w:r>
            <w:r>
              <w:rPr>
                <w:rFonts w:hint="eastAsia"/>
                <w:sz w:val="22"/>
              </w:rPr>
              <w:t>の受検</w:t>
            </w:r>
          </w:p>
          <w:p w:rsidR="00300C65" w:rsidRPr="00300C65" w:rsidRDefault="00300C65" w:rsidP="005B3D45">
            <w:pPr>
              <w:ind w:leftChars="100" w:left="210"/>
              <w:rPr>
                <w:sz w:val="22"/>
              </w:rPr>
            </w:pPr>
            <w:r>
              <w:rPr>
                <w:rFonts w:hint="eastAsia"/>
                <w:sz w:val="22"/>
              </w:rPr>
              <w:t>③適切な研修の実施</w:t>
            </w:r>
          </w:p>
        </w:tc>
        <w:tc>
          <w:tcPr>
            <w:tcW w:w="1701" w:type="dxa"/>
            <w:tcBorders>
              <w:left w:val="dashSmallGap" w:sz="4" w:space="0" w:color="auto"/>
            </w:tcBorders>
          </w:tcPr>
          <w:p w:rsidR="00564C7E" w:rsidRDefault="00300C65">
            <w:pPr>
              <w:rPr>
                <w:sz w:val="22"/>
              </w:rPr>
            </w:pPr>
            <w:r>
              <w:rPr>
                <w:rFonts w:hint="eastAsia"/>
                <w:sz w:val="22"/>
              </w:rPr>
              <w:t>努力義務</w:t>
            </w:r>
          </w:p>
          <w:p w:rsidR="00300C65" w:rsidRPr="00300C65" w:rsidRDefault="00300C65" w:rsidP="00300C65">
            <w:pPr>
              <w:ind w:leftChars="-51" w:left="175" w:hangingChars="128" w:hanging="282"/>
              <w:rPr>
                <w:sz w:val="22"/>
              </w:rPr>
            </w:pPr>
            <w:r>
              <w:rPr>
                <w:rFonts w:hint="eastAsia"/>
                <w:sz w:val="22"/>
              </w:rPr>
              <w:t>※遺伝子関連検査の場合、①③は義務化</w:t>
            </w:r>
          </w:p>
        </w:tc>
        <w:tc>
          <w:tcPr>
            <w:tcW w:w="11907" w:type="dxa"/>
          </w:tcPr>
          <w:p w:rsidR="00564C7E" w:rsidRDefault="009217D9" w:rsidP="009217D9">
            <w:pPr>
              <w:pStyle w:val="a4"/>
              <w:numPr>
                <w:ilvl w:val="0"/>
                <w:numId w:val="3"/>
              </w:numPr>
              <w:ind w:leftChars="0"/>
            </w:pPr>
            <w:r>
              <w:rPr>
                <w:rFonts w:hint="eastAsia"/>
              </w:rPr>
              <w:t>①の内部精度管理の実施に関し、日々の検査・測定作業の開始にあたっては、機器及び試薬に必要な較正が行われていること、定期的に当該病院等の管理試料等の同一検体を繰り返し検査した時の結果のばらつきの度合いを記録及び確認し、検査結果の精度を確保する体制が整備されていること</w:t>
            </w:r>
            <w:r w:rsidR="00F45867">
              <w:rPr>
                <w:rFonts w:hint="eastAsia"/>
              </w:rPr>
              <w:t>。</w:t>
            </w:r>
          </w:p>
          <w:p w:rsidR="00F45867" w:rsidRDefault="00F45867" w:rsidP="009217D9">
            <w:pPr>
              <w:pStyle w:val="a4"/>
              <w:numPr>
                <w:ilvl w:val="0"/>
                <w:numId w:val="3"/>
              </w:numPr>
              <w:ind w:leftChars="0"/>
            </w:pPr>
            <w:r>
              <w:rPr>
                <w:rFonts w:hint="eastAsia"/>
              </w:rPr>
              <w:t>②の実施団体としては、公益社団法人日本医師会、一般社団法人日本臨床検査技師会、一般社団法人日本衛生検査所協会等が挙げられる。</w:t>
            </w:r>
          </w:p>
          <w:p w:rsidR="00F45867" w:rsidRDefault="00F45867" w:rsidP="009217D9">
            <w:pPr>
              <w:pStyle w:val="a4"/>
              <w:numPr>
                <w:ilvl w:val="0"/>
                <w:numId w:val="3"/>
              </w:numPr>
              <w:ind w:leftChars="0"/>
            </w:pPr>
            <w:r>
              <w:rPr>
                <w:rFonts w:hint="eastAsia"/>
              </w:rPr>
              <w:t>③の研修は、検体検査の業務を適切に行うために必要な知識及び技能を習得することを目的とし、次に掲げる事項を含むものとし、内部研修に留まることなく、都道府県や学術団体等が行う研修会、報告会又は学会などの外部の教育研修の機会も活用するよう努めること。</w:t>
            </w:r>
          </w:p>
          <w:p w:rsidR="00F45867" w:rsidRDefault="00F45867" w:rsidP="00F45867">
            <w:pPr>
              <w:pStyle w:val="a4"/>
              <w:ind w:leftChars="0" w:left="420"/>
            </w:pPr>
            <w:r>
              <w:rPr>
                <w:rFonts w:hint="eastAsia"/>
              </w:rPr>
              <w:t>→　　・各標準作業書の記載事項　　・患者の秘密の保持</w:t>
            </w:r>
          </w:p>
        </w:tc>
      </w:tr>
    </w:tbl>
    <w:p w:rsidR="00564C7E" w:rsidRDefault="00564C7E"/>
    <w:sectPr w:rsidR="00564C7E" w:rsidSect="00782A61">
      <w:pgSz w:w="23814" w:h="16839" w:orient="landscape" w:code="8"/>
      <w:pgMar w:top="1135" w:right="820" w:bottom="709" w:left="1418" w:header="851" w:footer="992" w:gutter="0"/>
      <w:cols w:space="425"/>
      <w:docGrid w:type="line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0A" w:rsidRDefault="008E5C0A" w:rsidP="008E5C0A">
      <w:r>
        <w:separator/>
      </w:r>
    </w:p>
  </w:endnote>
  <w:endnote w:type="continuationSeparator" w:id="0">
    <w:p w:rsidR="008E5C0A" w:rsidRDefault="008E5C0A" w:rsidP="008E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0A" w:rsidRDefault="008E5C0A" w:rsidP="008E5C0A">
      <w:r>
        <w:separator/>
      </w:r>
    </w:p>
  </w:footnote>
  <w:footnote w:type="continuationSeparator" w:id="0">
    <w:p w:rsidR="008E5C0A" w:rsidRDefault="008E5C0A" w:rsidP="008E5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DC0"/>
    <w:multiLevelType w:val="hybridMultilevel"/>
    <w:tmpl w:val="004A579E"/>
    <w:lvl w:ilvl="0" w:tplc="BC0005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8C0584"/>
    <w:multiLevelType w:val="hybridMultilevel"/>
    <w:tmpl w:val="8F1C929E"/>
    <w:lvl w:ilvl="0" w:tplc="BC0005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CD1E85"/>
    <w:multiLevelType w:val="hybridMultilevel"/>
    <w:tmpl w:val="F6D2846A"/>
    <w:lvl w:ilvl="0" w:tplc="BC0005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8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11"/>
    <w:rsid w:val="0001726D"/>
    <w:rsid w:val="00057E0F"/>
    <w:rsid w:val="001B7911"/>
    <w:rsid w:val="002C15BE"/>
    <w:rsid w:val="00300C65"/>
    <w:rsid w:val="0035411D"/>
    <w:rsid w:val="00564C7E"/>
    <w:rsid w:val="005B3D45"/>
    <w:rsid w:val="00782A61"/>
    <w:rsid w:val="008E5C0A"/>
    <w:rsid w:val="008F09C1"/>
    <w:rsid w:val="009217D9"/>
    <w:rsid w:val="00E443BE"/>
    <w:rsid w:val="00F4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D45"/>
    <w:pPr>
      <w:ind w:leftChars="400" w:left="840"/>
    </w:pPr>
  </w:style>
  <w:style w:type="paragraph" w:styleId="a5">
    <w:name w:val="header"/>
    <w:basedOn w:val="a"/>
    <w:link w:val="a6"/>
    <w:uiPriority w:val="99"/>
    <w:unhideWhenUsed/>
    <w:rsid w:val="008E5C0A"/>
    <w:pPr>
      <w:tabs>
        <w:tab w:val="center" w:pos="4252"/>
        <w:tab w:val="right" w:pos="8504"/>
      </w:tabs>
      <w:snapToGrid w:val="0"/>
    </w:pPr>
  </w:style>
  <w:style w:type="character" w:customStyle="1" w:styleId="a6">
    <w:name w:val="ヘッダー (文字)"/>
    <w:basedOn w:val="a0"/>
    <w:link w:val="a5"/>
    <w:uiPriority w:val="99"/>
    <w:rsid w:val="008E5C0A"/>
  </w:style>
  <w:style w:type="paragraph" w:styleId="a7">
    <w:name w:val="footer"/>
    <w:basedOn w:val="a"/>
    <w:link w:val="a8"/>
    <w:uiPriority w:val="99"/>
    <w:unhideWhenUsed/>
    <w:rsid w:val="008E5C0A"/>
    <w:pPr>
      <w:tabs>
        <w:tab w:val="center" w:pos="4252"/>
        <w:tab w:val="right" w:pos="8504"/>
      </w:tabs>
      <w:snapToGrid w:val="0"/>
    </w:pPr>
  </w:style>
  <w:style w:type="character" w:customStyle="1" w:styleId="a8">
    <w:name w:val="フッター (文字)"/>
    <w:basedOn w:val="a0"/>
    <w:link w:val="a7"/>
    <w:uiPriority w:val="99"/>
    <w:rsid w:val="008E5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D45"/>
    <w:pPr>
      <w:ind w:leftChars="400" w:left="840"/>
    </w:pPr>
  </w:style>
  <w:style w:type="paragraph" w:styleId="a5">
    <w:name w:val="header"/>
    <w:basedOn w:val="a"/>
    <w:link w:val="a6"/>
    <w:uiPriority w:val="99"/>
    <w:unhideWhenUsed/>
    <w:rsid w:val="008E5C0A"/>
    <w:pPr>
      <w:tabs>
        <w:tab w:val="center" w:pos="4252"/>
        <w:tab w:val="right" w:pos="8504"/>
      </w:tabs>
      <w:snapToGrid w:val="0"/>
    </w:pPr>
  </w:style>
  <w:style w:type="character" w:customStyle="1" w:styleId="a6">
    <w:name w:val="ヘッダー (文字)"/>
    <w:basedOn w:val="a0"/>
    <w:link w:val="a5"/>
    <w:uiPriority w:val="99"/>
    <w:rsid w:val="008E5C0A"/>
  </w:style>
  <w:style w:type="paragraph" w:styleId="a7">
    <w:name w:val="footer"/>
    <w:basedOn w:val="a"/>
    <w:link w:val="a8"/>
    <w:uiPriority w:val="99"/>
    <w:unhideWhenUsed/>
    <w:rsid w:val="008E5C0A"/>
    <w:pPr>
      <w:tabs>
        <w:tab w:val="center" w:pos="4252"/>
        <w:tab w:val="right" w:pos="8504"/>
      </w:tabs>
      <w:snapToGrid w:val="0"/>
    </w:pPr>
  </w:style>
  <w:style w:type="character" w:customStyle="1" w:styleId="a8">
    <w:name w:val="フッター (文字)"/>
    <w:basedOn w:val="a0"/>
    <w:link w:val="a7"/>
    <w:uiPriority w:val="99"/>
    <w:rsid w:val="008E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67E6-A989-43C9-94C9-FB7659AC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cp:lastPrinted>2018-11-27T08:28:00Z</cp:lastPrinted>
  <dcterms:created xsi:type="dcterms:W3CDTF">2018-11-27T08:05:00Z</dcterms:created>
  <dcterms:modified xsi:type="dcterms:W3CDTF">2018-11-27T10:16:00Z</dcterms:modified>
</cp:coreProperties>
</file>