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DF" w:rsidRPr="001607DF" w:rsidRDefault="00381FBF" w:rsidP="001607DF">
      <w:pPr>
        <w:autoSpaceDE w:val="0"/>
        <w:autoSpaceDN w:val="0"/>
        <w:adjustRightInd w:val="0"/>
        <w:jc w:val="center"/>
        <w:rPr>
          <w:rFonts w:ascii="メイリオ" w:eastAsia="メイリオ" w:hAnsi="メイリオ" w:cs="MS-Gothic"/>
          <w:kern w:val="0"/>
          <w:sz w:val="24"/>
          <w:szCs w:val="24"/>
        </w:rPr>
      </w:pPr>
      <w:r>
        <w:rPr>
          <w:rFonts w:ascii="メイリオ" w:eastAsia="メイリオ" w:hAnsi="メイリオ" w:cs="MS-Gothic"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4367530</wp:posOffset>
                </wp:positionH>
                <wp:positionV relativeFrom="paragraph">
                  <wp:posOffset>-445135</wp:posOffset>
                </wp:positionV>
                <wp:extent cx="916940" cy="4616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6940" cy="4616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81FBF" w:rsidRPr="00381FBF" w:rsidRDefault="00381FBF" w:rsidP="00381FBF">
                            <w:pPr>
                              <w:jc w:val="center"/>
                              <w:rPr>
                                <w:rFonts w:ascii="メイリオ" w:eastAsia="メイリオ" w:hAnsi="メイリオ" w:hint="eastAsia"/>
                                <w:sz w:val="22"/>
                              </w:rPr>
                            </w:pPr>
                            <w:r w:rsidRPr="00381FBF">
                              <w:rPr>
                                <w:rFonts w:ascii="メイリオ" w:eastAsia="メイリオ" w:hAnsi="メイリオ" w:hint="eastAsia"/>
                                <w:sz w:val="22"/>
                              </w:rPr>
                              <w:t>（</w:t>
                            </w:r>
                            <w:r w:rsidRPr="00381FBF">
                              <w:rPr>
                                <w:rFonts w:ascii="メイリオ" w:eastAsia="メイリオ" w:hAnsi="メイリオ"/>
                                <w:sz w:val="22"/>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3.9pt;margin-top:-35.05pt;width:72.2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" fillcolor="white [3201]" stroked="f" strokeweight="1pt">
                <v:textbox>
                  <w:txbxContent>
                    <w:p w:rsidR="00381FBF" w:rsidRPr="00381FBF" w:rsidRDefault="00381FBF" w:rsidP="00381FBF">
                      <w:pPr>
                        <w:jc w:val="center"/>
                        <w:rPr>
                          <w:rFonts w:ascii="メイリオ" w:eastAsia="メイリオ" w:hAnsi="メイリオ" w:hint="eastAsia"/>
                          <w:sz w:val="22"/>
                        </w:rPr>
                      </w:pPr>
                      <w:r w:rsidRPr="00381FBF">
                        <w:rPr>
                          <w:rFonts w:ascii="メイリオ" w:eastAsia="メイリオ" w:hAnsi="メイリオ" w:hint="eastAsia"/>
                          <w:sz w:val="22"/>
                        </w:rPr>
                        <w:t>（</w:t>
                      </w:r>
                      <w:r w:rsidRPr="00381FBF">
                        <w:rPr>
                          <w:rFonts w:ascii="メイリオ" w:eastAsia="メイリオ" w:hAnsi="メイリオ"/>
                          <w:sz w:val="22"/>
                        </w:rPr>
                        <w:t>別紙１）</w:t>
                      </w:r>
                    </w:p>
                  </w:txbxContent>
                </v:textbox>
              </v:rect>
            </w:pict>
          </mc:Fallback>
        </mc:AlternateContent>
      </w:r>
      <w:r w:rsidR="001607DF" w:rsidRPr="001607DF">
        <w:rPr>
          <w:rFonts w:ascii="メイリオ" w:eastAsia="メイリオ" w:hAnsi="メイリオ" w:cs="MS-Gothic" w:hint="eastAsia"/>
          <w:kern w:val="0"/>
          <w:sz w:val="24"/>
          <w:szCs w:val="24"/>
        </w:rPr>
        <w:t>詳細な応答率の評価を行うための報告</w:t>
      </w:r>
    </w:p>
    <w:p w:rsidR="001607DF" w:rsidRPr="001607DF" w:rsidRDefault="001607DF" w:rsidP="001607DF">
      <w:pPr>
        <w:autoSpaceDE w:val="0"/>
        <w:autoSpaceDN w:val="0"/>
        <w:adjustRightInd w:val="0"/>
        <w:jc w:val="left"/>
        <w:rPr>
          <w:rFonts w:ascii="ＭＳ 明朝" w:eastAsia="ＭＳ 明朝" w:hAnsi="ＭＳ 明朝" w:cs="MS-Gothic"/>
          <w:kern w:val="0"/>
          <w:sz w:val="24"/>
          <w:szCs w:val="24"/>
        </w:rPr>
      </w:pPr>
      <w:r w:rsidRPr="001607DF">
        <w:rPr>
          <w:rFonts w:ascii="ＭＳ 明朝" w:eastAsia="ＭＳ 明朝" w:hAnsi="ＭＳ 明朝" w:cs="MS-Gothic" w:hint="eastAsia"/>
          <w:kern w:val="0"/>
          <w:sz w:val="24"/>
          <w:szCs w:val="24"/>
        </w:rPr>
        <w:t>１</w:t>
      </w:r>
      <w:r>
        <w:rPr>
          <w:rFonts w:ascii="ＭＳ 明朝" w:eastAsia="ＭＳ 明朝" w:hAnsi="ＭＳ 明朝" w:cs="MS-Gothic" w:hint="eastAsia"/>
          <w:kern w:val="0"/>
          <w:sz w:val="24"/>
          <w:szCs w:val="24"/>
        </w:rPr>
        <w:t xml:space="preserve">　</w:t>
      </w:r>
      <w:r w:rsidRPr="001607DF">
        <w:rPr>
          <w:rFonts w:ascii="ＭＳ 明朝" w:eastAsia="ＭＳ 明朝" w:hAnsi="ＭＳ 明朝" w:cs="MS-Gothic" w:hint="eastAsia"/>
          <w:kern w:val="0"/>
          <w:sz w:val="24"/>
          <w:szCs w:val="24"/>
        </w:rPr>
        <w:t>応答率の評価に必要な情報の収集</w:t>
      </w:r>
    </w:p>
    <w:p w:rsidR="004D19A1" w:rsidRDefault="001607DF" w:rsidP="001607DF">
      <w:pPr>
        <w:autoSpaceDE w:val="0"/>
        <w:autoSpaceDN w:val="0"/>
        <w:adjustRightInd w:val="0"/>
        <w:ind w:leftChars="86" w:left="18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Pr="001607DF">
        <w:rPr>
          <w:rFonts w:ascii="ＭＳ 明朝" w:eastAsia="ＭＳ 明朝" w:hAnsi="ＭＳ 明朝" w:cs="MS-Mincho" w:hint="eastAsia"/>
          <w:kern w:val="0"/>
          <w:sz w:val="24"/>
          <w:szCs w:val="24"/>
        </w:rPr>
        <w:t>事業者は、コールセンターの開設時間中において、</w:t>
      </w:r>
      <w:r w:rsidRPr="001607DF">
        <w:rPr>
          <w:rFonts w:ascii="ＭＳ 明朝" w:eastAsia="ＭＳ 明朝" w:hAnsi="ＭＳ 明朝" w:cs="MS-Mincho" w:hint="eastAsia"/>
          <w:kern w:val="0"/>
          <w:szCs w:val="21"/>
        </w:rPr>
        <w:t>委託者</w:t>
      </w:r>
      <w:r w:rsidRPr="001607DF">
        <w:rPr>
          <w:rFonts w:ascii="ＭＳ 明朝" w:eastAsia="ＭＳ 明朝" w:hAnsi="ＭＳ 明朝" w:cs="MS-Mincho" w:hint="eastAsia"/>
          <w:kern w:val="0"/>
          <w:sz w:val="24"/>
          <w:szCs w:val="24"/>
        </w:rPr>
        <w:t>による応答率の評価に必要となる以下の情報についてデータを収集すること。</w:t>
      </w:r>
    </w:p>
    <w:p w:rsidR="001607DF" w:rsidRDefault="001607DF" w:rsidP="001607DF">
      <w:pPr>
        <w:autoSpaceDE w:val="0"/>
        <w:autoSpaceDN w:val="0"/>
        <w:adjustRightInd w:val="0"/>
        <w:jc w:val="left"/>
        <w:rPr>
          <w:rFonts w:ascii="ＭＳ 明朝" w:eastAsia="ＭＳ 明朝" w:hAnsi="ＭＳ 明朝" w:cs="MS-Mincho"/>
          <w:kern w:val="0"/>
          <w:sz w:val="24"/>
          <w:szCs w:val="24"/>
        </w:rPr>
      </w:pPr>
    </w:p>
    <w:tbl>
      <w:tblPr>
        <w:tblStyle w:val="a3"/>
        <w:tblW w:w="0" w:type="auto"/>
        <w:tblInd w:w="357" w:type="dxa"/>
        <w:tblLook w:val="04A0" w:firstRow="1" w:lastRow="0" w:firstColumn="1" w:lastColumn="0" w:noHBand="0" w:noVBand="1"/>
      </w:tblPr>
      <w:tblGrid>
        <w:gridCol w:w="1629"/>
        <w:gridCol w:w="724"/>
        <w:gridCol w:w="5611"/>
      </w:tblGrid>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項目</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単位</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内容</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回線閉塞日時</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あらかじめ♯</w:t>
            </w:r>
            <w:r w:rsidRPr="00821C24">
              <w:rPr>
                <w:rFonts w:ascii="ＭＳ ゴシック" w:eastAsia="ＭＳ ゴシック" w:hAnsi="ＭＳ ゴシック" w:cs="MS-Mincho"/>
                <w:kern w:val="0"/>
                <w:szCs w:val="21"/>
              </w:rPr>
              <w:t xml:space="preserve">7119 </w:t>
            </w:r>
            <w:r w:rsidRPr="00821C24">
              <w:rPr>
                <w:rFonts w:ascii="ＭＳ ゴシック" w:eastAsia="ＭＳ ゴシック" w:hAnsi="ＭＳ ゴシック" w:cs="MS-Mincho" w:hint="eastAsia"/>
                <w:kern w:val="0"/>
                <w:szCs w:val="21"/>
              </w:rPr>
              <w:t>を受信するために用意され</w:t>
            </w:r>
            <w:bookmarkStart w:id="0" w:name="_GoBack"/>
            <w:bookmarkEnd w:id="0"/>
            <w:r w:rsidRPr="00821C24">
              <w:rPr>
                <w:rFonts w:ascii="ＭＳ ゴシック" w:eastAsia="ＭＳ ゴシック" w:hAnsi="ＭＳ ゴシック" w:cs="MS-Mincho" w:hint="eastAsia"/>
                <w:kern w:val="0"/>
                <w:szCs w:val="21"/>
              </w:rPr>
              <w:t>ている電話回線の全てが入電状態となり閉塞してから、当該状態が解消されるまでの日時</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回線閉塞時間</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あらかじめ♯</w:t>
            </w:r>
            <w:r w:rsidRPr="00821C24">
              <w:rPr>
                <w:rFonts w:ascii="ＭＳ ゴシック" w:eastAsia="ＭＳ ゴシック" w:hAnsi="ＭＳ ゴシック" w:cs="MS-Mincho"/>
                <w:kern w:val="0"/>
                <w:szCs w:val="21"/>
              </w:rPr>
              <w:t xml:space="preserve">7119 </w:t>
            </w:r>
            <w:r w:rsidRPr="00821C24">
              <w:rPr>
                <w:rFonts w:ascii="ＭＳ ゴシック" w:eastAsia="ＭＳ ゴシック" w:hAnsi="ＭＳ ゴシック" w:cs="MS-Mincho" w:hint="eastAsia"/>
                <w:kern w:val="0"/>
                <w:szCs w:val="21"/>
              </w:rPr>
              <w:t>を受信するために用意されている電話回線の全てが入電状態となり、閉塞している時間</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入電件数</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１時間毎の入電件数</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対応件数</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１時間毎の対応した件数</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応答率</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１時間毎の「対応件数／入電件数」で求められる応答率</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配置オペレーター数</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人</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１時間毎の配置オペレーター数</w:t>
            </w:r>
          </w:p>
        </w:tc>
      </w:tr>
      <w:tr w:rsidR="001607DF" w:rsidTr="002E28BA">
        <w:tc>
          <w:tcPr>
            <w:tcW w:w="1629"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１件毎の処理時間</w:t>
            </w:r>
          </w:p>
        </w:tc>
        <w:tc>
          <w:tcPr>
            <w:tcW w:w="724"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5611" w:type="dxa"/>
          </w:tcPr>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オペレーターが、１件の♯</w:t>
            </w:r>
            <w:r w:rsidRPr="00821C24">
              <w:rPr>
                <w:rFonts w:ascii="ＭＳ ゴシック" w:eastAsia="ＭＳ ゴシック" w:hAnsi="ＭＳ ゴシック" w:cs="MS-Mincho"/>
                <w:kern w:val="0"/>
                <w:szCs w:val="21"/>
              </w:rPr>
              <w:t xml:space="preserve">7119 </w:t>
            </w:r>
            <w:r w:rsidRPr="00821C24">
              <w:rPr>
                <w:rFonts w:ascii="ＭＳ ゴシック" w:eastAsia="ＭＳ ゴシック" w:hAnsi="ＭＳ ゴシック" w:cs="MS-Mincho" w:hint="eastAsia"/>
                <w:kern w:val="0"/>
                <w:szCs w:val="21"/>
              </w:rPr>
              <w:t>入電に対して通話を開始してから、全ての対応を終えて次の入電に対応可能な状態となるまでの時間で、通話時間</w:t>
            </w:r>
          </w:p>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※１と後処理時間※２の合計時間</w:t>
            </w:r>
          </w:p>
          <w:p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※１：通話開始から通話終了までの時間で、通話を保留した時間を含む</w:t>
            </w:r>
          </w:p>
          <w:p w:rsidR="001607DF" w:rsidRPr="00821C24" w:rsidRDefault="001607DF"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※２：システム入力作業等、通話終了後に発生する諸作業に要した時間</w:t>
            </w:r>
          </w:p>
        </w:tc>
      </w:tr>
    </w:tbl>
    <w:p w:rsidR="001607DF" w:rsidRDefault="001607DF" w:rsidP="001607DF">
      <w:pPr>
        <w:autoSpaceDE w:val="0"/>
        <w:autoSpaceDN w:val="0"/>
        <w:adjustRightInd w:val="0"/>
        <w:jc w:val="left"/>
        <w:rPr>
          <w:rFonts w:ascii="ＭＳ 明朝" w:eastAsia="ＭＳ 明朝" w:hAnsi="ＭＳ 明朝" w:cs="MS-Mincho"/>
          <w:kern w:val="0"/>
          <w:sz w:val="24"/>
          <w:szCs w:val="24"/>
        </w:rPr>
      </w:pPr>
    </w:p>
    <w:p w:rsidR="00821C24" w:rsidRPr="00821C24" w:rsidRDefault="00821C24" w:rsidP="00821C24">
      <w:pPr>
        <w:autoSpaceDE w:val="0"/>
        <w:autoSpaceDN w:val="0"/>
        <w:adjustRightInd w:val="0"/>
        <w:jc w:val="left"/>
        <w:rPr>
          <w:rFonts w:ascii="ＭＳ ゴシック" w:eastAsia="ＭＳ ゴシック" w:hAnsi="ＭＳ ゴシック" w:cs="MS-Gothic"/>
          <w:kern w:val="0"/>
          <w:sz w:val="24"/>
          <w:szCs w:val="24"/>
        </w:rPr>
      </w:pPr>
      <w:r w:rsidRPr="00821C24">
        <w:rPr>
          <w:rFonts w:ascii="ＭＳ ゴシック" w:eastAsia="ＭＳ ゴシック" w:hAnsi="ＭＳ ゴシック" w:cs="MS-Gothic" w:hint="eastAsia"/>
          <w:kern w:val="0"/>
          <w:sz w:val="24"/>
          <w:szCs w:val="24"/>
        </w:rPr>
        <w:t>２</w:t>
      </w:r>
      <w:r>
        <w:rPr>
          <w:rFonts w:ascii="ＭＳ ゴシック" w:eastAsia="ＭＳ ゴシック" w:hAnsi="ＭＳ ゴシック" w:cs="MS-Gothic" w:hint="eastAsia"/>
          <w:kern w:val="0"/>
          <w:sz w:val="24"/>
          <w:szCs w:val="24"/>
        </w:rPr>
        <w:t xml:space="preserve">　</w:t>
      </w:r>
      <w:r w:rsidRPr="00821C24">
        <w:rPr>
          <w:rFonts w:ascii="ＭＳ ゴシック" w:eastAsia="ＭＳ ゴシック" w:hAnsi="ＭＳ ゴシック" w:cs="MS-Gothic" w:hint="eastAsia"/>
          <w:kern w:val="0"/>
          <w:sz w:val="24"/>
          <w:szCs w:val="24"/>
        </w:rPr>
        <w:t>応答率の評価に必要な情報の報告</w:t>
      </w:r>
    </w:p>
    <w:p w:rsidR="00821C24" w:rsidRPr="00821C24" w:rsidRDefault="00821C24" w:rsidP="00821C24">
      <w:pPr>
        <w:autoSpaceDE w:val="0"/>
        <w:autoSpaceDN w:val="0"/>
        <w:adjustRightInd w:val="0"/>
        <w:ind w:leftChars="86" w:left="18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Pr="00821C24">
        <w:rPr>
          <w:rFonts w:ascii="ＭＳ 明朝" w:eastAsia="ＭＳ 明朝" w:hAnsi="ＭＳ 明朝" w:cs="MS-Mincho" w:hint="eastAsia"/>
          <w:kern w:val="0"/>
          <w:sz w:val="24"/>
          <w:szCs w:val="24"/>
        </w:rPr>
        <w:t>事業者は、１で収集した情報を以下に示す報告資料に取りまとめ、委託者に報告すること。</w:t>
      </w:r>
    </w:p>
    <w:p w:rsidR="00821C24" w:rsidRPr="00821C24" w:rsidRDefault="00821C24" w:rsidP="00821C2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821C24">
        <w:rPr>
          <w:rFonts w:ascii="ＭＳ 明朝" w:eastAsia="ＭＳ 明朝" w:hAnsi="ＭＳ 明朝" w:cs="MS-Mincho" w:hint="eastAsia"/>
          <w:kern w:val="0"/>
          <w:sz w:val="24"/>
          <w:szCs w:val="24"/>
        </w:rPr>
        <w:t>（１）♯</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対応状況一覧（日表）の作成</w:t>
      </w:r>
    </w:p>
    <w:p w:rsidR="00821C24" w:rsidRPr="00821C24" w:rsidRDefault="00821C24" w:rsidP="00821C24">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00E55759">
        <w:rPr>
          <w:rFonts w:ascii="ＭＳ 明朝" w:eastAsia="ＭＳ 明朝" w:hAnsi="ＭＳ 明朝" w:cs="MS-Mincho" w:hint="eastAsia"/>
          <w:kern w:val="0"/>
          <w:sz w:val="24"/>
          <w:szCs w:val="24"/>
        </w:rPr>
        <w:t>事業者は、収集した情報を別紙様式１</w:t>
      </w:r>
      <w:r w:rsidRPr="00821C24">
        <w:rPr>
          <w:rFonts w:ascii="ＭＳ 明朝" w:eastAsia="ＭＳ 明朝" w:hAnsi="ＭＳ 明朝" w:cs="MS-Mincho" w:hint="eastAsia"/>
          <w:kern w:val="0"/>
          <w:sz w:val="24"/>
          <w:szCs w:val="24"/>
        </w:rPr>
        <w:t>「♯</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対応状況一覧（日表）」に取りまとめ、次月の５営業日目を目処に委託者に報告すること。</w:t>
      </w:r>
    </w:p>
    <w:p w:rsidR="00821C24" w:rsidRPr="00821C24" w:rsidRDefault="00821C24" w:rsidP="00821C2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821C24">
        <w:rPr>
          <w:rFonts w:ascii="ＭＳ 明朝" w:eastAsia="ＭＳ 明朝" w:hAnsi="ＭＳ 明朝" w:cs="MS-Mincho" w:hint="eastAsia"/>
          <w:kern w:val="0"/>
          <w:sz w:val="24"/>
          <w:szCs w:val="24"/>
        </w:rPr>
        <w:t>（２）♯</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対応状況一覧（月表）の作成</w:t>
      </w:r>
    </w:p>
    <w:p w:rsidR="00821C24" w:rsidRDefault="00821C24" w:rsidP="00821C24">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Pr="00821C24">
        <w:rPr>
          <w:rFonts w:ascii="ＭＳ 明朝" w:eastAsia="ＭＳ 明朝" w:hAnsi="ＭＳ 明朝" w:cs="MS-Mincho" w:hint="eastAsia"/>
          <w:kern w:val="0"/>
          <w:sz w:val="24"/>
          <w:szCs w:val="24"/>
        </w:rPr>
        <w:t>事業</w:t>
      </w:r>
      <w:r w:rsidR="00E55759">
        <w:rPr>
          <w:rFonts w:ascii="ＭＳ 明朝" w:eastAsia="ＭＳ 明朝" w:hAnsi="ＭＳ 明朝" w:cs="MS-Mincho" w:hint="eastAsia"/>
          <w:kern w:val="0"/>
          <w:sz w:val="24"/>
          <w:szCs w:val="24"/>
        </w:rPr>
        <w:t>者は、収集したデータに基づき以下の項目について算出し、別紙様式２</w:t>
      </w:r>
      <w:r w:rsidRPr="00821C24">
        <w:rPr>
          <w:rFonts w:ascii="ＭＳ 明朝" w:eastAsia="ＭＳ 明朝" w:hAnsi="ＭＳ 明朝" w:cs="MS-Mincho" w:hint="eastAsia"/>
          <w:kern w:val="0"/>
          <w:sz w:val="24"/>
          <w:szCs w:val="24"/>
        </w:rPr>
        <w:t>「♯</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対応状況一覧（月表）」に取りまとめ、次月の５営業日目を目処に委託者に報告すること。</w:t>
      </w:r>
    </w:p>
    <w:p w:rsidR="00821C24" w:rsidRPr="00DA1CB2" w:rsidRDefault="00821C24" w:rsidP="00821C24">
      <w:pPr>
        <w:autoSpaceDE w:val="0"/>
        <w:autoSpaceDN w:val="0"/>
        <w:adjustRightInd w:val="0"/>
        <w:ind w:leftChars="172" w:left="361"/>
        <w:jc w:val="left"/>
        <w:rPr>
          <w:rFonts w:ascii="ＭＳ 明朝" w:eastAsia="ＭＳ 明朝" w:hAnsi="ＭＳ 明朝" w:cs="MS-Mincho"/>
          <w:kern w:val="0"/>
          <w:sz w:val="24"/>
          <w:szCs w:val="24"/>
        </w:rPr>
      </w:pPr>
    </w:p>
    <w:tbl>
      <w:tblPr>
        <w:tblStyle w:val="a3"/>
        <w:tblW w:w="7964" w:type="dxa"/>
        <w:tblInd w:w="357" w:type="dxa"/>
        <w:tblLook w:val="04A0" w:firstRow="1" w:lastRow="0" w:firstColumn="1" w:lastColumn="0" w:noHBand="0" w:noVBand="1"/>
      </w:tblPr>
      <w:tblGrid>
        <w:gridCol w:w="582"/>
        <w:gridCol w:w="2288"/>
        <w:gridCol w:w="713"/>
        <w:gridCol w:w="4381"/>
      </w:tblGrid>
      <w:tr w:rsidR="00821C24" w:rsidTr="002E28BA">
        <w:tc>
          <w:tcPr>
            <w:tcW w:w="362"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項　目</w:t>
            </w:r>
          </w:p>
        </w:tc>
        <w:tc>
          <w:tcPr>
            <w:tcW w:w="724"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単位</w:t>
            </w:r>
          </w:p>
        </w:tc>
        <w:tc>
          <w:tcPr>
            <w:tcW w:w="452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内　容</w:t>
            </w:r>
          </w:p>
        </w:tc>
      </w:tr>
      <w:tr w:rsidR="00821C24" w:rsidTr="002E28BA">
        <w:tc>
          <w:tcPr>
            <w:tcW w:w="362" w:type="dxa"/>
            <w:vMerge w:val="restart"/>
            <w:textDirection w:val="tbRlV"/>
            <w:vAlign w:val="center"/>
          </w:tcPr>
          <w:p w:rsidR="00821C24" w:rsidRPr="00821C24" w:rsidRDefault="00821C24" w:rsidP="00821C24">
            <w:pPr>
              <w:autoSpaceDE w:val="0"/>
              <w:autoSpaceDN w:val="0"/>
              <w:adjustRightInd w:val="0"/>
              <w:ind w:left="113" w:right="113"/>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日別対応状況</w:t>
            </w:r>
          </w:p>
        </w:tc>
        <w:tc>
          <w:tcPr>
            <w:tcW w:w="234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合計入電件数（</w:t>
            </w:r>
            <w:r w:rsidRPr="00821C24">
              <w:rPr>
                <w:rFonts w:ascii="ＭＳ ゴシック" w:eastAsia="ＭＳ ゴシック" w:hAnsi="ＭＳ ゴシック" w:cs="MS-Mincho"/>
                <w:kern w:val="0"/>
                <w:szCs w:val="21"/>
              </w:rPr>
              <w:t>A</w:t>
            </w:r>
            <w:r w:rsidRPr="00821C24">
              <w:rPr>
                <w:rFonts w:ascii="ＭＳ ゴシック" w:eastAsia="ＭＳ ゴシック" w:hAnsi="ＭＳ ゴシック" w:cs="MS-Mincho" w:hint="eastAsia"/>
                <w:kern w:val="0"/>
                <w:szCs w:val="21"/>
              </w:rPr>
              <w:t>）</w:t>
            </w:r>
          </w:p>
        </w:tc>
        <w:tc>
          <w:tcPr>
            <w:tcW w:w="724" w:type="dxa"/>
          </w:tcPr>
          <w:p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452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時間）中の全入電件数</w:t>
            </w:r>
          </w:p>
        </w:tc>
      </w:tr>
      <w:tr w:rsidR="00821C24" w:rsidTr="002E28BA">
        <w:tc>
          <w:tcPr>
            <w:tcW w:w="362" w:type="dxa"/>
            <w:vMerge/>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合計対応件数（</w:t>
            </w:r>
            <w:r w:rsidRPr="00821C24">
              <w:rPr>
                <w:rFonts w:ascii="ＭＳ ゴシック" w:eastAsia="ＭＳ ゴシック" w:hAnsi="ＭＳ ゴシック" w:cs="MS-Mincho"/>
                <w:kern w:val="0"/>
                <w:szCs w:val="21"/>
              </w:rPr>
              <w:t>B)</w:t>
            </w:r>
          </w:p>
        </w:tc>
        <w:tc>
          <w:tcPr>
            <w:tcW w:w="724" w:type="dxa"/>
          </w:tcPr>
          <w:p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452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時間）中の全対応件数</w:t>
            </w:r>
          </w:p>
        </w:tc>
      </w:tr>
      <w:tr w:rsidR="00821C24" w:rsidTr="002E28BA">
        <w:tc>
          <w:tcPr>
            <w:tcW w:w="362" w:type="dxa"/>
            <w:vMerge/>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応答率</w:t>
            </w:r>
          </w:p>
        </w:tc>
        <w:tc>
          <w:tcPr>
            <w:tcW w:w="724" w:type="dxa"/>
          </w:tcPr>
          <w:p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w:t>
            </w:r>
          </w:p>
        </w:tc>
        <w:tc>
          <w:tcPr>
            <w:tcW w:w="452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kern w:val="0"/>
                <w:szCs w:val="21"/>
              </w:rPr>
              <w:t>B</w:t>
            </w:r>
            <w:r w:rsidRPr="00821C24">
              <w:rPr>
                <w:rFonts w:ascii="ＭＳ ゴシック" w:eastAsia="ＭＳ ゴシック" w:hAnsi="ＭＳ ゴシック" w:cs="MS-Mincho" w:hint="eastAsia"/>
                <w:kern w:val="0"/>
                <w:szCs w:val="21"/>
              </w:rPr>
              <w:t>／</w:t>
            </w:r>
            <w:r w:rsidRPr="00821C24">
              <w:rPr>
                <w:rFonts w:ascii="ＭＳ ゴシック" w:eastAsia="ＭＳ ゴシック" w:hAnsi="ＭＳ ゴシック" w:cs="MS-Mincho"/>
                <w:kern w:val="0"/>
                <w:szCs w:val="21"/>
              </w:rPr>
              <w:t xml:space="preserve">A </w:t>
            </w:r>
            <w:r w:rsidRPr="00821C24">
              <w:rPr>
                <w:rFonts w:ascii="ＭＳ ゴシック" w:eastAsia="ＭＳ ゴシック" w:hAnsi="ＭＳ ゴシック" w:cs="MS-Mincho" w:hint="eastAsia"/>
                <w:kern w:val="0"/>
                <w:szCs w:val="21"/>
              </w:rPr>
              <w:t>で求められる応答率</w:t>
            </w:r>
          </w:p>
        </w:tc>
      </w:tr>
      <w:tr w:rsidR="00821C24" w:rsidTr="002E28BA">
        <w:tc>
          <w:tcPr>
            <w:tcW w:w="362" w:type="dxa"/>
            <w:vMerge/>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合計回線閉塞時間</w:t>
            </w:r>
          </w:p>
        </w:tc>
        <w:tc>
          <w:tcPr>
            <w:tcW w:w="724" w:type="dxa"/>
          </w:tcPr>
          <w:p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452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時間）中の回線閉塞時間の合計</w:t>
            </w:r>
          </w:p>
        </w:tc>
      </w:tr>
      <w:tr w:rsidR="00821C24" w:rsidTr="002E28BA">
        <w:tc>
          <w:tcPr>
            <w:tcW w:w="362" w:type="dxa"/>
            <w:vMerge/>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平均処理時間</w:t>
            </w:r>
          </w:p>
        </w:tc>
        <w:tc>
          <w:tcPr>
            <w:tcW w:w="724" w:type="dxa"/>
          </w:tcPr>
          <w:p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4529" w:type="dxa"/>
          </w:tcPr>
          <w:p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時間）中の平均処理時間</w:t>
            </w:r>
          </w:p>
        </w:tc>
      </w:tr>
    </w:tbl>
    <w:p w:rsidR="00821C24" w:rsidRDefault="00821C24" w:rsidP="00821C24">
      <w:pPr>
        <w:autoSpaceDE w:val="0"/>
        <w:autoSpaceDN w:val="0"/>
        <w:adjustRightInd w:val="0"/>
        <w:jc w:val="left"/>
        <w:rPr>
          <w:rFonts w:ascii="ＭＳ 明朝" w:eastAsia="ＭＳ 明朝" w:hAnsi="ＭＳ 明朝" w:cs="MS-Mincho"/>
          <w:kern w:val="0"/>
          <w:sz w:val="24"/>
          <w:szCs w:val="24"/>
        </w:rPr>
      </w:pPr>
    </w:p>
    <w:tbl>
      <w:tblPr>
        <w:tblStyle w:val="a3"/>
        <w:tblW w:w="7964" w:type="dxa"/>
        <w:tblInd w:w="357" w:type="dxa"/>
        <w:tblLook w:val="04A0" w:firstRow="1" w:lastRow="0" w:firstColumn="1" w:lastColumn="0" w:noHBand="0" w:noVBand="1"/>
      </w:tblPr>
      <w:tblGrid>
        <w:gridCol w:w="583"/>
        <w:gridCol w:w="2287"/>
        <w:gridCol w:w="713"/>
        <w:gridCol w:w="4381"/>
      </w:tblGrid>
      <w:tr w:rsidR="002E28BA" w:rsidTr="002E28BA">
        <w:tc>
          <w:tcPr>
            <w:tcW w:w="362"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項　目</w:t>
            </w:r>
          </w:p>
        </w:tc>
        <w:tc>
          <w:tcPr>
            <w:tcW w:w="724"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単位</w:t>
            </w:r>
          </w:p>
        </w:tc>
        <w:tc>
          <w:tcPr>
            <w:tcW w:w="452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内　容</w:t>
            </w:r>
          </w:p>
        </w:tc>
      </w:tr>
      <w:tr w:rsidR="002E28BA" w:rsidTr="002E28BA">
        <w:tc>
          <w:tcPr>
            <w:tcW w:w="362" w:type="dxa"/>
            <w:vMerge w:val="restart"/>
            <w:textDirection w:val="tbRlV"/>
          </w:tcPr>
          <w:p w:rsidR="002E28BA" w:rsidRPr="002E28BA" w:rsidRDefault="002E28BA" w:rsidP="00DF451D">
            <w:pPr>
              <w:autoSpaceDE w:val="0"/>
              <w:autoSpaceDN w:val="0"/>
              <w:adjustRightInd w:val="0"/>
              <w:ind w:left="113" w:right="113"/>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時間別対応状況</w:t>
            </w:r>
          </w:p>
        </w:tc>
        <w:tc>
          <w:tcPr>
            <w:tcW w:w="2349" w:type="dxa"/>
          </w:tcPr>
          <w:p w:rsidR="002E28BA" w:rsidRPr="002E28BA" w:rsidRDefault="002E28BA" w:rsidP="002E28BA">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平均配置ｵﾍﾟﾚｰﾀｰ数</w:t>
            </w:r>
          </w:p>
        </w:tc>
        <w:tc>
          <w:tcPr>
            <w:tcW w:w="724" w:type="dxa"/>
          </w:tcPr>
          <w:p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人</w:t>
            </w:r>
          </w:p>
        </w:tc>
        <w:tc>
          <w:tcPr>
            <w:tcW w:w="452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当該時間帯に配置されたオペレーター数の月の平均値</w:t>
            </w:r>
          </w:p>
        </w:tc>
      </w:tr>
      <w:tr w:rsidR="002E28BA" w:rsidTr="002E28BA">
        <w:tc>
          <w:tcPr>
            <w:tcW w:w="362" w:type="dxa"/>
            <w:vMerge/>
            <w:textDirection w:val="tbRlV"/>
          </w:tcPr>
          <w:p w:rsidR="002E28BA" w:rsidRPr="002E28BA" w:rsidRDefault="002E28BA" w:rsidP="00DF451D">
            <w:pPr>
              <w:autoSpaceDE w:val="0"/>
              <w:autoSpaceDN w:val="0"/>
              <w:adjustRightInd w:val="0"/>
              <w:ind w:left="113" w:right="113"/>
              <w:jc w:val="left"/>
              <w:rPr>
                <w:rFonts w:ascii="ＭＳ ゴシック" w:eastAsia="ＭＳ ゴシック" w:hAnsi="ＭＳ ゴシック" w:cs="MS-Mincho"/>
                <w:kern w:val="0"/>
                <w:szCs w:val="21"/>
              </w:rPr>
            </w:pPr>
          </w:p>
        </w:tc>
        <w:tc>
          <w:tcPr>
            <w:tcW w:w="2349" w:type="dxa"/>
          </w:tcPr>
          <w:p w:rsidR="002E28BA" w:rsidRPr="002E28BA" w:rsidRDefault="002E28BA" w:rsidP="002E28BA">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合計入電件数（</w:t>
            </w:r>
            <w:r w:rsidRPr="002E28BA">
              <w:rPr>
                <w:rFonts w:ascii="ＭＳ ゴシック" w:eastAsia="ＭＳ ゴシック" w:hAnsi="ＭＳ ゴシック" w:cs="MS-Mincho"/>
                <w:kern w:val="0"/>
                <w:szCs w:val="21"/>
              </w:rPr>
              <w:t>C)</w:t>
            </w:r>
          </w:p>
        </w:tc>
        <w:tc>
          <w:tcPr>
            <w:tcW w:w="724" w:type="dxa"/>
          </w:tcPr>
          <w:p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件</w:t>
            </w:r>
          </w:p>
        </w:tc>
        <w:tc>
          <w:tcPr>
            <w:tcW w:w="452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当該時間帯に入電した件数の月の合計値</w:t>
            </w:r>
          </w:p>
        </w:tc>
      </w:tr>
      <w:tr w:rsidR="002E28BA" w:rsidTr="002E28BA">
        <w:tc>
          <w:tcPr>
            <w:tcW w:w="362" w:type="dxa"/>
            <w:vMerge/>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合計対応件数（</w:t>
            </w:r>
            <w:r w:rsidRPr="002E28BA">
              <w:rPr>
                <w:rFonts w:ascii="ＭＳ ゴシック" w:eastAsia="ＭＳ ゴシック" w:hAnsi="ＭＳ ゴシック" w:cs="MS-Mincho"/>
                <w:kern w:val="0"/>
                <w:szCs w:val="21"/>
              </w:rPr>
              <w:t>D)</w:t>
            </w:r>
          </w:p>
        </w:tc>
        <w:tc>
          <w:tcPr>
            <w:tcW w:w="724" w:type="dxa"/>
          </w:tcPr>
          <w:p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件</w:t>
            </w:r>
          </w:p>
        </w:tc>
        <w:tc>
          <w:tcPr>
            <w:tcW w:w="452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当該時間帯に対応した件数の月合計値</w:t>
            </w:r>
          </w:p>
        </w:tc>
      </w:tr>
      <w:tr w:rsidR="002E28BA" w:rsidTr="002E28BA">
        <w:tc>
          <w:tcPr>
            <w:tcW w:w="362" w:type="dxa"/>
            <w:vMerge/>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応答率</w:t>
            </w:r>
          </w:p>
        </w:tc>
        <w:tc>
          <w:tcPr>
            <w:tcW w:w="724" w:type="dxa"/>
          </w:tcPr>
          <w:p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w:t>
            </w:r>
          </w:p>
        </w:tc>
        <w:tc>
          <w:tcPr>
            <w:tcW w:w="4529" w:type="dxa"/>
          </w:tcPr>
          <w:p w:rsidR="002E28BA" w:rsidRPr="002E28BA" w:rsidRDefault="002E28BA" w:rsidP="002E28BA">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kern w:val="0"/>
                <w:szCs w:val="21"/>
              </w:rPr>
              <w:t xml:space="preserve"> D/ C</w:t>
            </w:r>
            <w:r w:rsidRPr="002E28BA">
              <w:rPr>
                <w:rFonts w:ascii="ＭＳ ゴシック" w:eastAsia="ＭＳ ゴシック" w:hAnsi="ＭＳ ゴシック" w:cs="MS-Mincho" w:hint="eastAsia"/>
                <w:kern w:val="0"/>
                <w:szCs w:val="21"/>
              </w:rPr>
              <w:t>で求められる応答率</w:t>
            </w:r>
          </w:p>
        </w:tc>
      </w:tr>
      <w:tr w:rsidR="002E28BA" w:rsidTr="002E28BA">
        <w:tc>
          <w:tcPr>
            <w:tcW w:w="362" w:type="dxa"/>
            <w:vMerge/>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平均回線閉塞時間</w:t>
            </w:r>
          </w:p>
        </w:tc>
        <w:tc>
          <w:tcPr>
            <w:tcW w:w="724" w:type="dxa"/>
          </w:tcPr>
          <w:p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分</w:t>
            </w:r>
          </w:p>
        </w:tc>
        <w:tc>
          <w:tcPr>
            <w:tcW w:w="452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当該時間の回線閉塞時間の月の平均値</w:t>
            </w:r>
          </w:p>
        </w:tc>
      </w:tr>
      <w:tr w:rsidR="002E28BA" w:rsidTr="002E28BA">
        <w:tc>
          <w:tcPr>
            <w:tcW w:w="362" w:type="dxa"/>
            <w:vMerge/>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平均処理時間</w:t>
            </w:r>
          </w:p>
        </w:tc>
        <w:tc>
          <w:tcPr>
            <w:tcW w:w="724" w:type="dxa"/>
          </w:tcPr>
          <w:p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分</w:t>
            </w:r>
          </w:p>
        </w:tc>
        <w:tc>
          <w:tcPr>
            <w:tcW w:w="4529" w:type="dxa"/>
          </w:tcPr>
          <w:p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当該時間の平均処理時間の月の平均値</w:t>
            </w:r>
          </w:p>
        </w:tc>
      </w:tr>
    </w:tbl>
    <w:p w:rsidR="002E28BA" w:rsidRPr="002E28BA" w:rsidRDefault="002E28BA" w:rsidP="00821C24">
      <w:pPr>
        <w:autoSpaceDE w:val="0"/>
        <w:autoSpaceDN w:val="0"/>
        <w:adjustRightInd w:val="0"/>
        <w:jc w:val="left"/>
        <w:rPr>
          <w:rFonts w:ascii="ＭＳ 明朝" w:eastAsia="ＭＳ 明朝" w:hAnsi="ＭＳ 明朝" w:cs="MS-Mincho"/>
          <w:kern w:val="0"/>
          <w:sz w:val="24"/>
          <w:szCs w:val="24"/>
        </w:rPr>
      </w:pPr>
    </w:p>
    <w:p w:rsidR="00821C24" w:rsidRDefault="00821C24" w:rsidP="00821C24">
      <w:pPr>
        <w:autoSpaceDE w:val="0"/>
        <w:autoSpaceDN w:val="0"/>
        <w:adjustRightInd w:val="0"/>
        <w:ind w:leftChars="172" w:left="361"/>
        <w:jc w:val="left"/>
        <w:rPr>
          <w:rFonts w:ascii="ＭＳ 明朝" w:eastAsia="ＭＳ 明朝" w:hAnsi="ＭＳ 明朝" w:cs="MS-Mincho"/>
          <w:kern w:val="0"/>
          <w:sz w:val="24"/>
          <w:szCs w:val="24"/>
        </w:rPr>
      </w:pPr>
    </w:p>
    <w:p w:rsidR="00821C24" w:rsidRPr="00821C24" w:rsidRDefault="00821C24" w:rsidP="00821C24">
      <w:pPr>
        <w:autoSpaceDE w:val="0"/>
        <w:autoSpaceDN w:val="0"/>
        <w:adjustRightInd w:val="0"/>
        <w:ind w:leftChars="172" w:left="361"/>
        <w:jc w:val="left"/>
        <w:rPr>
          <w:rFonts w:ascii="ＭＳ 明朝" w:eastAsia="ＭＳ 明朝" w:hAnsi="ＭＳ 明朝" w:cs="MS-Mincho"/>
          <w:kern w:val="0"/>
          <w:sz w:val="24"/>
          <w:szCs w:val="24"/>
        </w:rPr>
      </w:pPr>
    </w:p>
    <w:sectPr w:rsidR="00821C24" w:rsidRPr="00821C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E8" w:rsidRDefault="000D4BE8" w:rsidP="00E55759">
      <w:r>
        <w:separator/>
      </w:r>
    </w:p>
  </w:endnote>
  <w:endnote w:type="continuationSeparator" w:id="0">
    <w:p w:rsidR="000D4BE8" w:rsidRDefault="000D4BE8" w:rsidP="00E5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E8" w:rsidRDefault="000D4BE8" w:rsidP="00E55759">
      <w:r>
        <w:separator/>
      </w:r>
    </w:p>
  </w:footnote>
  <w:footnote w:type="continuationSeparator" w:id="0">
    <w:p w:rsidR="000D4BE8" w:rsidRDefault="000D4BE8" w:rsidP="00E55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DF"/>
    <w:rsid w:val="000D4BE8"/>
    <w:rsid w:val="001607DF"/>
    <w:rsid w:val="002E28BA"/>
    <w:rsid w:val="00381FBF"/>
    <w:rsid w:val="004D19A1"/>
    <w:rsid w:val="00821C24"/>
    <w:rsid w:val="00DA1CB2"/>
    <w:rsid w:val="00E05220"/>
    <w:rsid w:val="00E5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637CD7"/>
  <w15:chartTrackingRefBased/>
  <w15:docId w15:val="{787B8EC2-D0C3-4487-8354-1E0C795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5759"/>
    <w:pPr>
      <w:tabs>
        <w:tab w:val="center" w:pos="4252"/>
        <w:tab w:val="right" w:pos="8504"/>
      </w:tabs>
      <w:snapToGrid w:val="0"/>
    </w:pPr>
  </w:style>
  <w:style w:type="character" w:customStyle="1" w:styleId="a5">
    <w:name w:val="ヘッダー (文字)"/>
    <w:basedOn w:val="a0"/>
    <w:link w:val="a4"/>
    <w:uiPriority w:val="99"/>
    <w:rsid w:val="00E55759"/>
  </w:style>
  <w:style w:type="paragraph" w:styleId="a6">
    <w:name w:val="footer"/>
    <w:basedOn w:val="a"/>
    <w:link w:val="a7"/>
    <w:uiPriority w:val="99"/>
    <w:unhideWhenUsed/>
    <w:rsid w:val="00E55759"/>
    <w:pPr>
      <w:tabs>
        <w:tab w:val="center" w:pos="4252"/>
        <w:tab w:val="right" w:pos="8504"/>
      </w:tabs>
      <w:snapToGrid w:val="0"/>
    </w:pPr>
  </w:style>
  <w:style w:type="character" w:customStyle="1" w:styleId="a7">
    <w:name w:val="フッター (文字)"/>
    <w:basedOn w:val="a0"/>
    <w:link w:val="a6"/>
    <w:uiPriority w:val="99"/>
    <w:rsid w:val="00E55759"/>
  </w:style>
  <w:style w:type="paragraph" w:styleId="a8">
    <w:name w:val="Balloon Text"/>
    <w:basedOn w:val="a"/>
    <w:link w:val="a9"/>
    <w:uiPriority w:val="99"/>
    <w:semiHidden/>
    <w:unhideWhenUsed/>
    <w:rsid w:val="00E55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2023-07-20T05:26:00Z</cp:lastPrinted>
  <dcterms:created xsi:type="dcterms:W3CDTF">2023-07-03T09:06:00Z</dcterms:created>
  <dcterms:modified xsi:type="dcterms:W3CDTF">2023-07-25T10:18:00Z</dcterms:modified>
</cp:coreProperties>
</file>